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5CF" w:rsidRPr="000A08D0" w:rsidRDefault="007D45CF" w:rsidP="007D45CF">
      <w:pPr>
        <w:pStyle w:val="CSDAPolicy1"/>
        <w:rPr>
          <w:b/>
          <w:bCs/>
          <w:spacing w:val="-6"/>
        </w:rPr>
      </w:pPr>
      <w:r w:rsidRPr="000A08D0">
        <w:rPr>
          <w:b/>
          <w:bCs/>
          <w:spacing w:val="-6"/>
        </w:rPr>
        <w:t>POLICY TITLE:</w:t>
      </w:r>
      <w:r w:rsidRPr="000A08D0">
        <w:rPr>
          <w:b/>
          <w:bCs/>
          <w:spacing w:val="-6"/>
        </w:rPr>
        <w:tab/>
      </w:r>
      <w:r w:rsidR="0070099F" w:rsidRPr="000A08D0">
        <w:rPr>
          <w:b/>
          <w:bCs/>
          <w:spacing w:val="-6"/>
        </w:rPr>
        <w:t>Catastrophic Time Bank</w:t>
      </w:r>
    </w:p>
    <w:p w:rsidR="007D45CF" w:rsidRPr="000A08D0" w:rsidRDefault="0070099F" w:rsidP="007D45CF">
      <w:pPr>
        <w:pStyle w:val="CSDAPolicy1"/>
        <w:rPr>
          <w:b/>
          <w:bCs/>
          <w:spacing w:val="-6"/>
        </w:rPr>
      </w:pPr>
      <w:r w:rsidRPr="000A08D0">
        <w:rPr>
          <w:b/>
          <w:bCs/>
          <w:spacing w:val="-6"/>
        </w:rPr>
        <w:t>POLICY NUMBER:</w:t>
      </w:r>
      <w:r w:rsidRPr="000A08D0">
        <w:rPr>
          <w:b/>
          <w:bCs/>
          <w:spacing w:val="-6"/>
        </w:rPr>
        <w:tab/>
        <w:t>3410</w:t>
      </w:r>
    </w:p>
    <w:p w:rsidR="007D45CF" w:rsidRPr="000A08D0" w:rsidRDefault="007D45CF" w:rsidP="007D45CF">
      <w:pPr>
        <w:pStyle w:val="CSDAPolicy1"/>
        <w:rPr>
          <w:bCs/>
          <w:spacing w:val="-6"/>
        </w:rPr>
      </w:pPr>
    </w:p>
    <w:p w:rsidR="0070099F" w:rsidRPr="000A08D0" w:rsidRDefault="0070099F" w:rsidP="0070099F">
      <w:pPr>
        <w:pStyle w:val="CSDAPolicy1"/>
        <w:rPr>
          <w:bCs/>
          <w:spacing w:val="-6"/>
        </w:rPr>
      </w:pPr>
      <w:r w:rsidRPr="000A08D0">
        <w:rPr>
          <w:bCs/>
          <w:spacing w:val="-6"/>
        </w:rPr>
        <w:t>This policy is applicable only to non-exempt employees, both as to use of and donation to a catastrophic time bank.</w:t>
      </w:r>
    </w:p>
    <w:p w:rsidR="0070099F" w:rsidRPr="000A08D0" w:rsidRDefault="0070099F" w:rsidP="0070099F">
      <w:pPr>
        <w:pStyle w:val="CSDAPolicy1"/>
        <w:rPr>
          <w:bCs/>
          <w:spacing w:val="-6"/>
        </w:rPr>
      </w:pPr>
    </w:p>
    <w:p w:rsidR="0070099F" w:rsidRPr="000A08D0" w:rsidRDefault="0070099F" w:rsidP="003B0366">
      <w:pPr>
        <w:pStyle w:val="CSDAPolicy1"/>
        <w:tabs>
          <w:tab w:val="clear" w:pos="810"/>
          <w:tab w:val="left" w:pos="900"/>
        </w:tabs>
        <w:rPr>
          <w:bCs/>
          <w:spacing w:val="-6"/>
        </w:rPr>
      </w:pPr>
      <w:r w:rsidRPr="000A08D0">
        <w:rPr>
          <w:bCs/>
          <w:spacing w:val="-6"/>
        </w:rPr>
        <w:t xml:space="preserve">3410.1 </w:t>
      </w:r>
      <w:r w:rsidR="003B0366" w:rsidRPr="000A08D0">
        <w:rPr>
          <w:bCs/>
          <w:spacing w:val="-6"/>
        </w:rPr>
        <w:tab/>
      </w:r>
      <w:r w:rsidRPr="000A08D0">
        <w:rPr>
          <w:bCs/>
          <w:spacing w:val="-6"/>
        </w:rPr>
        <w:t xml:space="preserve">At the discretion of the General Manager, employees will be permitted to transfer eligible leave credits to a time bank to be used by an employee when a non-work related catastrophic illness or injury occurs. </w:t>
      </w:r>
    </w:p>
    <w:p w:rsidR="0070099F" w:rsidRPr="000A08D0" w:rsidRDefault="0070099F" w:rsidP="0070099F">
      <w:pPr>
        <w:pStyle w:val="CSDAPolicy1"/>
        <w:rPr>
          <w:bCs/>
          <w:spacing w:val="-6"/>
        </w:rPr>
      </w:pPr>
    </w:p>
    <w:p w:rsidR="0070099F" w:rsidRPr="000A08D0" w:rsidRDefault="000A08D0" w:rsidP="003B0366">
      <w:pPr>
        <w:pStyle w:val="CSDAPolicy1"/>
        <w:tabs>
          <w:tab w:val="clear" w:pos="810"/>
          <w:tab w:val="left" w:pos="900"/>
        </w:tabs>
        <w:rPr>
          <w:bCs/>
          <w:spacing w:val="-6"/>
        </w:rPr>
      </w:pPr>
      <w:r w:rsidRPr="000A08D0">
        <w:rPr>
          <w:bCs/>
          <w:spacing w:val="-6"/>
        </w:rPr>
        <w:tab/>
      </w:r>
      <w:r w:rsidR="0070099F" w:rsidRPr="000A08D0">
        <w:rPr>
          <w:bCs/>
          <w:spacing w:val="-6"/>
        </w:rPr>
        <w:t xml:space="preserve">3410.1.1 </w:t>
      </w:r>
      <w:r w:rsidR="003B0366" w:rsidRPr="000A08D0">
        <w:rPr>
          <w:bCs/>
          <w:spacing w:val="-6"/>
        </w:rPr>
        <w:tab/>
      </w:r>
      <w:r w:rsidR="0070099F" w:rsidRPr="000A08D0">
        <w:rPr>
          <w:bCs/>
          <w:spacing w:val="-6"/>
        </w:rPr>
        <w:t xml:space="preserve">Definitions used in the application of this rule: </w:t>
      </w:r>
    </w:p>
    <w:p w:rsidR="0070099F" w:rsidRPr="000A08D0" w:rsidRDefault="0070099F" w:rsidP="0070099F">
      <w:pPr>
        <w:pStyle w:val="CSDAPolicy1"/>
        <w:numPr>
          <w:ilvl w:val="0"/>
          <w:numId w:val="26"/>
        </w:numPr>
        <w:rPr>
          <w:bCs/>
          <w:spacing w:val="-6"/>
        </w:rPr>
      </w:pPr>
      <w:r w:rsidRPr="000A08D0">
        <w:rPr>
          <w:bCs/>
          <w:spacing w:val="-6"/>
        </w:rPr>
        <w:t xml:space="preserve">Catastrophic illness or injury is defined as a non-work related illness or injury which is expected to incapacitate an employee and which creates a financial hardship because the employee has exhausted all of his/her sick leave and other paid time off. </w:t>
      </w:r>
    </w:p>
    <w:p w:rsidR="0070099F" w:rsidRPr="000A08D0" w:rsidRDefault="0070099F" w:rsidP="0070099F">
      <w:pPr>
        <w:pStyle w:val="CSDAPolicy1"/>
        <w:numPr>
          <w:ilvl w:val="0"/>
          <w:numId w:val="26"/>
        </w:numPr>
        <w:rPr>
          <w:bCs/>
          <w:spacing w:val="-6"/>
        </w:rPr>
      </w:pPr>
      <w:r w:rsidRPr="000A08D0">
        <w:rPr>
          <w:bCs/>
          <w:spacing w:val="-6"/>
        </w:rPr>
        <w:t xml:space="preserve">A time bank is one or more hours of leave credit donated by one or more employees to another employee who has been incapacitated by a catastrophic illness or injury. </w:t>
      </w:r>
    </w:p>
    <w:p w:rsidR="0070099F" w:rsidRPr="000A08D0" w:rsidRDefault="0070099F" w:rsidP="0070099F">
      <w:pPr>
        <w:pStyle w:val="CSDAPolicy1"/>
        <w:numPr>
          <w:ilvl w:val="0"/>
          <w:numId w:val="26"/>
        </w:numPr>
        <w:rPr>
          <w:bCs/>
          <w:spacing w:val="-6"/>
        </w:rPr>
      </w:pPr>
      <w:r w:rsidRPr="000A08D0">
        <w:rPr>
          <w:bCs/>
          <w:spacing w:val="-6"/>
        </w:rPr>
        <w:t xml:space="preserve">Eligible leave credits include vacation and/or compensating time off (CTO). They do not include sick leave. </w:t>
      </w:r>
    </w:p>
    <w:p w:rsidR="0070099F" w:rsidRPr="000A08D0" w:rsidRDefault="0070099F" w:rsidP="0070099F">
      <w:pPr>
        <w:pStyle w:val="CSDAPolicy1"/>
        <w:rPr>
          <w:bCs/>
          <w:spacing w:val="-6"/>
        </w:rPr>
      </w:pPr>
    </w:p>
    <w:p w:rsidR="0070099F" w:rsidRPr="000A08D0" w:rsidRDefault="000A08D0" w:rsidP="003B0366">
      <w:pPr>
        <w:pStyle w:val="CSDAPolicy1"/>
        <w:tabs>
          <w:tab w:val="clear" w:pos="810"/>
          <w:tab w:val="left" w:pos="900"/>
        </w:tabs>
        <w:rPr>
          <w:bCs/>
          <w:spacing w:val="-6"/>
        </w:rPr>
      </w:pPr>
      <w:r w:rsidRPr="000A08D0">
        <w:rPr>
          <w:bCs/>
          <w:spacing w:val="-6"/>
        </w:rPr>
        <w:tab/>
      </w:r>
      <w:r w:rsidR="0070099F" w:rsidRPr="000A08D0">
        <w:rPr>
          <w:bCs/>
          <w:spacing w:val="-6"/>
        </w:rPr>
        <w:t xml:space="preserve">3410.1.2 </w:t>
      </w:r>
      <w:r w:rsidR="003B0366" w:rsidRPr="000A08D0">
        <w:rPr>
          <w:bCs/>
          <w:spacing w:val="-6"/>
        </w:rPr>
        <w:tab/>
      </w:r>
      <w:r w:rsidR="0070099F" w:rsidRPr="000A08D0">
        <w:rPr>
          <w:bCs/>
          <w:spacing w:val="-6"/>
        </w:rPr>
        <w:t xml:space="preserve">A time bank for catastrophic illness or injury may be established: </w:t>
      </w:r>
    </w:p>
    <w:p w:rsidR="0070099F" w:rsidRPr="000A08D0" w:rsidRDefault="0070099F" w:rsidP="0070099F">
      <w:pPr>
        <w:pStyle w:val="CSDAPolicy1"/>
        <w:numPr>
          <w:ilvl w:val="0"/>
          <w:numId w:val="27"/>
        </w:numPr>
        <w:rPr>
          <w:bCs/>
          <w:spacing w:val="-6"/>
        </w:rPr>
      </w:pPr>
      <w:r w:rsidRPr="000A08D0">
        <w:rPr>
          <w:bCs/>
          <w:spacing w:val="-6"/>
        </w:rPr>
        <w:t xml:space="preserve">Upon the written request of an employee; </w:t>
      </w:r>
    </w:p>
    <w:p w:rsidR="0070099F" w:rsidRPr="000A08D0" w:rsidRDefault="0070099F" w:rsidP="0070099F">
      <w:pPr>
        <w:pStyle w:val="CSDAPolicy1"/>
        <w:numPr>
          <w:ilvl w:val="0"/>
          <w:numId w:val="27"/>
        </w:numPr>
        <w:rPr>
          <w:bCs/>
          <w:spacing w:val="-6"/>
        </w:rPr>
      </w:pPr>
      <w:r w:rsidRPr="000A08D0">
        <w:rPr>
          <w:bCs/>
          <w:spacing w:val="-6"/>
        </w:rPr>
        <w:t xml:space="preserve">Upon determination by the General Manager that the employee in the District is unable to work due to the employee's catastrophic illness or injury; and </w:t>
      </w:r>
    </w:p>
    <w:p w:rsidR="0070099F" w:rsidRPr="000A08D0" w:rsidRDefault="0070099F" w:rsidP="0070099F">
      <w:pPr>
        <w:pStyle w:val="CSDAPolicy1"/>
        <w:numPr>
          <w:ilvl w:val="0"/>
          <w:numId w:val="27"/>
        </w:numPr>
        <w:rPr>
          <w:bCs/>
          <w:spacing w:val="-6"/>
        </w:rPr>
      </w:pPr>
      <w:r w:rsidRPr="000A08D0">
        <w:rPr>
          <w:bCs/>
          <w:spacing w:val="-6"/>
        </w:rPr>
        <w:t xml:space="preserve">That the employee has exhausted all paid leave credit. </w:t>
      </w:r>
    </w:p>
    <w:p w:rsidR="0070099F" w:rsidRPr="000A08D0" w:rsidRDefault="0070099F" w:rsidP="0070099F">
      <w:pPr>
        <w:pStyle w:val="CSDAPolicy1"/>
        <w:rPr>
          <w:bCs/>
          <w:spacing w:val="-6"/>
        </w:rPr>
      </w:pPr>
    </w:p>
    <w:p w:rsidR="0070099F" w:rsidRPr="000A08D0" w:rsidRDefault="000A08D0" w:rsidP="00B3621B">
      <w:pPr>
        <w:pStyle w:val="CSDAPolicy1"/>
        <w:tabs>
          <w:tab w:val="clear" w:pos="810"/>
          <w:tab w:val="left" w:pos="900"/>
        </w:tabs>
        <w:ind w:left="900" w:hanging="900"/>
        <w:rPr>
          <w:bCs/>
          <w:spacing w:val="-6"/>
        </w:rPr>
      </w:pPr>
      <w:r w:rsidRPr="000A08D0">
        <w:rPr>
          <w:bCs/>
          <w:spacing w:val="-6"/>
        </w:rPr>
        <w:tab/>
      </w:r>
      <w:r w:rsidR="0070099F" w:rsidRPr="000A08D0">
        <w:rPr>
          <w:bCs/>
          <w:spacing w:val="-6"/>
        </w:rPr>
        <w:t xml:space="preserve">3410.1.3 </w:t>
      </w:r>
      <w:r w:rsidR="003B0366" w:rsidRPr="000A08D0">
        <w:rPr>
          <w:bCs/>
          <w:spacing w:val="-6"/>
        </w:rPr>
        <w:tab/>
      </w:r>
      <w:r w:rsidR="0070099F" w:rsidRPr="000A08D0">
        <w:rPr>
          <w:bCs/>
          <w:spacing w:val="-6"/>
        </w:rPr>
        <w:t>If a time bank is established, any employee may, upon written notice to the Administrative Services Manager, donate eligible leave credits in one-hour increments, up to a maximum of 40 hours in a one year period, to the time bank. Donations will be reflected as an hour for hour deduction from the leave balance of the donating employee. When transferring leave credits into a time bank, the District will assure that only credits that may be needed are transferred. The employee donating the hours shall remain responsible for any applicable taxes or other expenses for the used hours.</w:t>
      </w:r>
    </w:p>
    <w:p w:rsidR="0070099F" w:rsidRPr="000A08D0" w:rsidRDefault="0070099F" w:rsidP="0070099F">
      <w:pPr>
        <w:pStyle w:val="CSDAPolicy1"/>
        <w:rPr>
          <w:bCs/>
          <w:spacing w:val="-6"/>
        </w:rPr>
      </w:pPr>
    </w:p>
    <w:p w:rsidR="0070099F" w:rsidRPr="000A08D0" w:rsidRDefault="000A08D0" w:rsidP="00B3621B">
      <w:pPr>
        <w:pStyle w:val="CSDAPolicy1"/>
        <w:tabs>
          <w:tab w:val="clear" w:pos="810"/>
          <w:tab w:val="left" w:pos="900"/>
        </w:tabs>
        <w:ind w:left="900" w:hanging="900"/>
        <w:rPr>
          <w:bCs/>
          <w:spacing w:val="-6"/>
        </w:rPr>
      </w:pPr>
      <w:r w:rsidRPr="000A08D0">
        <w:rPr>
          <w:bCs/>
          <w:spacing w:val="-6"/>
        </w:rPr>
        <w:tab/>
      </w:r>
      <w:r w:rsidR="0070099F" w:rsidRPr="000A08D0">
        <w:rPr>
          <w:bCs/>
          <w:spacing w:val="-6"/>
        </w:rPr>
        <w:t>3410.1.4</w:t>
      </w:r>
      <w:r w:rsidR="003B0366" w:rsidRPr="000A08D0">
        <w:rPr>
          <w:bCs/>
          <w:spacing w:val="-6"/>
        </w:rPr>
        <w:tab/>
      </w:r>
      <w:r w:rsidR="0070099F" w:rsidRPr="000A08D0">
        <w:rPr>
          <w:bCs/>
          <w:spacing w:val="-6"/>
        </w:rPr>
        <w:t>In order to receive time from the time bank, an employee must provide appropriate verification of illness or injury as determined by the District. The employee for whom the time bank is established will have any time which is donated to the time bank transferred to his account in one hour increments for use as sick leave only. Donated credits will be reflected as an hour-for-hour addition to the leave balance of the receiving employee. The total amount of leave credits donated may not exceed an amount sufficient to insure the continuance of regular compensation. An employee who receives time through this program shall use any leave credits he/she continues to accrue on a monthly basis prior to receiving time from the time bank.</w:t>
      </w:r>
    </w:p>
    <w:p w:rsidR="003C59EA" w:rsidRPr="000A08D0" w:rsidRDefault="003C59EA" w:rsidP="0070099F">
      <w:pPr>
        <w:pStyle w:val="CSDAPolicy1"/>
        <w:rPr>
          <w:bCs/>
          <w:spacing w:val="-6"/>
        </w:rPr>
      </w:pPr>
    </w:p>
    <w:p w:rsidR="002F6869" w:rsidRPr="000A08D0" w:rsidRDefault="0070099F" w:rsidP="003B0366">
      <w:pPr>
        <w:pStyle w:val="CSDAPolicy1"/>
        <w:tabs>
          <w:tab w:val="clear" w:pos="810"/>
          <w:tab w:val="left" w:pos="900"/>
        </w:tabs>
        <w:rPr>
          <w:spacing w:val="-6"/>
          <w:szCs w:val="24"/>
        </w:rPr>
      </w:pPr>
      <w:r w:rsidRPr="000A08D0">
        <w:rPr>
          <w:bCs/>
          <w:spacing w:val="-6"/>
        </w:rPr>
        <w:t>3410.</w:t>
      </w:r>
      <w:r w:rsidR="00B3621B">
        <w:rPr>
          <w:bCs/>
          <w:spacing w:val="-6"/>
        </w:rPr>
        <w:t>2</w:t>
      </w:r>
      <w:bookmarkStart w:id="0" w:name="_GoBack"/>
      <w:bookmarkEnd w:id="0"/>
      <w:r w:rsidRPr="000A08D0">
        <w:rPr>
          <w:bCs/>
          <w:spacing w:val="-6"/>
        </w:rPr>
        <w:t xml:space="preserve"> </w:t>
      </w:r>
      <w:r w:rsidR="003B0366" w:rsidRPr="000A08D0">
        <w:rPr>
          <w:bCs/>
          <w:spacing w:val="-6"/>
        </w:rPr>
        <w:tab/>
      </w:r>
      <w:r w:rsidRPr="000A08D0">
        <w:rPr>
          <w:bCs/>
          <w:spacing w:val="-6"/>
        </w:rPr>
        <w:t>Use of time from the time bank may not be used to augment benefits received due to a work-related injury or illness.</w:t>
      </w:r>
    </w:p>
    <w:sectPr w:rsidR="002F6869" w:rsidRPr="000A08D0">
      <w:headerReference w:type="default" r:id="rId7"/>
      <w:footerReference w:type="default" r:id="rId8"/>
      <w:endnotePr>
        <w:numFmt w:val="decimal"/>
      </w:endnotePr>
      <w:pgSz w:w="12240" w:h="15840" w:code="1"/>
      <w:pgMar w:top="1152" w:right="1152" w:bottom="1152" w:left="1728" w:header="1152"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7D5D" w:rsidRDefault="00E67D5D">
      <w:r>
        <w:separator/>
      </w:r>
    </w:p>
  </w:endnote>
  <w:endnote w:type="continuationSeparator" w:id="0">
    <w:p w:rsidR="00E67D5D" w:rsidRDefault="00E67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BAF" w:rsidRDefault="009D0EEF" w:rsidP="00F50021">
    <w:pPr>
      <w:tabs>
        <w:tab w:val="center" w:pos="4680"/>
        <w:tab w:val="right" w:pos="9360"/>
      </w:tabs>
      <w:rPr>
        <w:rFonts w:ascii="Arial Narrow" w:hAnsi="Arial Narrow"/>
        <w:sz w:val="24"/>
      </w:rPr>
    </w:pPr>
    <w:r>
      <w:rPr>
        <w:rFonts w:ascii="Arial Narrow" w:hAnsi="Arial Narrow"/>
        <w:sz w:val="16"/>
        <w:szCs w:val="16"/>
      </w:rPr>
      <w:tab/>
    </w:r>
    <w:r w:rsidR="000A08D0">
      <w:rPr>
        <w:noProof/>
      </w:rPr>
      <w:drawing>
        <wp:anchor distT="0" distB="0" distL="114300" distR="114300" simplePos="0" relativeHeight="251660288" behindDoc="0" locked="0" layoutInCell="1" allowOverlap="1">
          <wp:simplePos x="1781175" y="8458200"/>
          <wp:positionH relativeFrom="page">
            <wp:align>left</wp:align>
          </wp:positionH>
          <wp:positionV relativeFrom="page">
            <wp:align>bottom</wp:align>
          </wp:positionV>
          <wp:extent cx="7772400" cy="1143000"/>
          <wp:effectExtent l="0" t="0" r="0" b="0"/>
          <wp:wrapSquare wrapText="bothSides"/>
          <wp:docPr id="3" name="Picture 3" descr="C:\Users\cassandras\AppData\Local\Microsoft\Windows\INetCache\Content.Word\SPH footer KMTG Revised 2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ssandras\AppData\Local\Microsoft\Windows\INetCache\Content.Word\SPH footer KMTG Revised 2017.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72400" cy="1143000"/>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7D5D" w:rsidRDefault="00E67D5D">
      <w:r>
        <w:separator/>
      </w:r>
    </w:p>
  </w:footnote>
  <w:footnote w:type="continuationSeparator" w:id="0">
    <w:p w:rsidR="00E67D5D" w:rsidRDefault="00E67D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041" w:rsidRPr="009D0EEF" w:rsidRDefault="009D0EEF" w:rsidP="009D0EEF">
    <w:pPr>
      <w:pStyle w:val="Header"/>
    </w:pPr>
    <w:r>
      <w:rPr>
        <w:noProof/>
      </w:rPr>
      <w:drawing>
        <wp:anchor distT="0" distB="0" distL="114300" distR="114300" simplePos="0" relativeHeight="251659264" behindDoc="0" locked="0" layoutInCell="1" allowOverlap="1">
          <wp:simplePos x="1781175" y="733425"/>
          <wp:positionH relativeFrom="page">
            <wp:align>left</wp:align>
          </wp:positionH>
          <wp:positionV relativeFrom="page">
            <wp:align>top</wp:align>
          </wp:positionV>
          <wp:extent cx="7772400" cy="1371600"/>
          <wp:effectExtent l="0" t="0" r="0" b="0"/>
          <wp:wrapSquare wrapText="bothSides"/>
          <wp:docPr id="2" name="Picture 2" descr="C:\Users\MStrawn\AppData\Local\Temp\Temp3_original-finals.zip\FINALS\SPH header Personnel Compens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Strawn\AppData\Local\Temp\Temp3_original-finals.zip\FINALS\SPH header Personnel Compensation.png"/>
                  <pic:cNvPicPr>
                    <a:picLocks noChangeAspect="1" noChangeArrowheads="1"/>
                  </pic:cNvPicPr>
                </pic:nvPicPr>
                <pic:blipFill>
                  <a:blip r:embed="rId1"/>
                  <a:stretch>
                    <a:fillRect/>
                  </a:stretch>
                </pic:blipFill>
                <pic:spPr bwMode="auto">
                  <a:xfrm>
                    <a:off x="0" y="0"/>
                    <a:ext cx="7772400" cy="13716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5A4A7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15259E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FDA2D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7880C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7DA1D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73A06F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892E59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23803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9D4F3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52057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A698C5B2"/>
    <w:lvl w:ilvl="0">
      <w:numFmt w:val="decimal"/>
      <w:pStyle w:val="Caption"/>
      <w:lvlText w:val="*"/>
      <w:lvlJc w:val="left"/>
    </w:lvl>
  </w:abstractNum>
  <w:abstractNum w:abstractNumId="11" w15:restartNumberingAfterBreak="0">
    <w:nsid w:val="10E318FC"/>
    <w:multiLevelType w:val="hybridMultilevel"/>
    <w:tmpl w:val="76A28E50"/>
    <w:lvl w:ilvl="0" w:tplc="04090017">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2" w15:restartNumberingAfterBreak="0">
    <w:nsid w:val="120045C6"/>
    <w:multiLevelType w:val="singleLevel"/>
    <w:tmpl w:val="09B0E8F8"/>
    <w:lvl w:ilvl="0">
      <w:start w:val="1"/>
      <w:numFmt w:val="decimal"/>
      <w:lvlText w:val="%1)"/>
      <w:legacy w:legacy="1" w:legacySpace="0" w:legacyIndent="360"/>
      <w:lvlJc w:val="left"/>
      <w:pPr>
        <w:ind w:left="1440" w:hanging="360"/>
      </w:pPr>
      <w:rPr>
        <w:rFonts w:ascii="Symbol" w:hAnsi="Symbol" w:hint="default"/>
        <w:b w:val="0"/>
        <w:i w:val="0"/>
        <w:sz w:val="18"/>
      </w:rPr>
    </w:lvl>
  </w:abstractNum>
  <w:abstractNum w:abstractNumId="13" w15:restartNumberingAfterBreak="0">
    <w:nsid w:val="17C64556"/>
    <w:multiLevelType w:val="hybridMultilevel"/>
    <w:tmpl w:val="533210A4"/>
    <w:lvl w:ilvl="0" w:tplc="04090017">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4" w15:restartNumberingAfterBreak="0">
    <w:nsid w:val="19754DDC"/>
    <w:multiLevelType w:val="singleLevel"/>
    <w:tmpl w:val="6DCCA5CE"/>
    <w:lvl w:ilvl="0">
      <w:start w:val="1"/>
      <w:numFmt w:val="none"/>
      <w:lvlText w:val=""/>
      <w:legacy w:legacy="1" w:legacySpace="0" w:legacyIndent="0"/>
      <w:lvlJc w:val="left"/>
    </w:lvl>
  </w:abstractNum>
  <w:abstractNum w:abstractNumId="15" w15:restartNumberingAfterBreak="0">
    <w:nsid w:val="2A3030A1"/>
    <w:multiLevelType w:val="singleLevel"/>
    <w:tmpl w:val="6DCCA5CE"/>
    <w:lvl w:ilvl="0">
      <w:start w:val="1"/>
      <w:numFmt w:val="none"/>
      <w:lvlText w:val=""/>
      <w:legacy w:legacy="1" w:legacySpace="0" w:legacyIndent="0"/>
      <w:lvlJc w:val="left"/>
    </w:lvl>
  </w:abstractNum>
  <w:abstractNum w:abstractNumId="16" w15:restartNumberingAfterBreak="0">
    <w:nsid w:val="2D9E4A94"/>
    <w:multiLevelType w:val="singleLevel"/>
    <w:tmpl w:val="6DCCA5CE"/>
    <w:lvl w:ilvl="0">
      <w:start w:val="1"/>
      <w:numFmt w:val="none"/>
      <w:lvlText w:val=""/>
      <w:legacy w:legacy="1" w:legacySpace="0" w:legacyIndent="0"/>
      <w:lvlJc w:val="left"/>
    </w:lvl>
  </w:abstractNum>
  <w:abstractNum w:abstractNumId="17" w15:restartNumberingAfterBreak="0">
    <w:nsid w:val="40152EAB"/>
    <w:multiLevelType w:val="singleLevel"/>
    <w:tmpl w:val="2034CD5C"/>
    <w:lvl w:ilvl="0">
      <w:numFmt w:val="decimal"/>
      <w:lvlText w:val="*"/>
      <w:lvlJc w:val="left"/>
    </w:lvl>
  </w:abstractNum>
  <w:abstractNum w:abstractNumId="18" w15:restartNumberingAfterBreak="0">
    <w:nsid w:val="46B310A4"/>
    <w:multiLevelType w:val="singleLevel"/>
    <w:tmpl w:val="6DCCA5CE"/>
    <w:lvl w:ilvl="0">
      <w:start w:val="1"/>
      <w:numFmt w:val="none"/>
      <w:lvlText w:val=""/>
      <w:legacy w:legacy="1" w:legacySpace="0" w:legacyIndent="0"/>
      <w:lvlJc w:val="left"/>
    </w:lvl>
  </w:abstractNum>
  <w:abstractNum w:abstractNumId="19" w15:restartNumberingAfterBreak="0">
    <w:nsid w:val="47583C2E"/>
    <w:multiLevelType w:val="singleLevel"/>
    <w:tmpl w:val="C2A61456"/>
    <w:lvl w:ilvl="0">
      <w:start w:val="1"/>
      <w:numFmt w:val="decimal"/>
      <w:lvlText w:val="%1)"/>
      <w:legacy w:legacy="1" w:legacySpace="0" w:legacyIndent="360"/>
      <w:lvlJc w:val="left"/>
      <w:pPr>
        <w:ind w:left="1440" w:hanging="360"/>
      </w:pPr>
      <w:rPr>
        <w:rFonts w:ascii="Arial Black" w:hAnsi="Arial Black" w:hint="default"/>
        <w:b w:val="0"/>
        <w:i w:val="0"/>
        <w:sz w:val="18"/>
      </w:rPr>
    </w:lvl>
  </w:abstractNum>
  <w:abstractNum w:abstractNumId="20" w15:restartNumberingAfterBreak="0">
    <w:nsid w:val="4B170563"/>
    <w:multiLevelType w:val="singleLevel"/>
    <w:tmpl w:val="4A84109C"/>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21" w15:restartNumberingAfterBreak="0">
    <w:nsid w:val="559913A9"/>
    <w:multiLevelType w:val="singleLevel"/>
    <w:tmpl w:val="25407178"/>
    <w:lvl w:ilvl="0">
      <w:start w:val="1"/>
      <w:numFmt w:val="decimal"/>
      <w:pStyle w:val="ListNumber"/>
      <w:lvlText w:val="%1)"/>
      <w:legacy w:legacy="1" w:legacySpace="0" w:legacyIndent="360"/>
      <w:lvlJc w:val="left"/>
      <w:pPr>
        <w:ind w:left="1440" w:hanging="360"/>
      </w:pPr>
      <w:rPr>
        <w:rFonts w:ascii="Arial Black" w:hAnsi="Arial Black" w:hint="default"/>
        <w:b w:val="0"/>
        <w:i w:val="0"/>
        <w:sz w:val="18"/>
      </w:rPr>
    </w:lvl>
  </w:abstractNum>
  <w:abstractNum w:abstractNumId="22" w15:restartNumberingAfterBreak="0">
    <w:nsid w:val="5CBE216E"/>
    <w:multiLevelType w:val="singleLevel"/>
    <w:tmpl w:val="6DCCA5CE"/>
    <w:lvl w:ilvl="0">
      <w:start w:val="1"/>
      <w:numFmt w:val="none"/>
      <w:lvlText w:val=""/>
      <w:legacy w:legacy="1" w:legacySpace="0" w:legacyIndent="0"/>
      <w:lvlJc w:val="left"/>
    </w:lvl>
  </w:abstractNum>
  <w:abstractNum w:abstractNumId="23" w15:restartNumberingAfterBreak="0">
    <w:nsid w:val="6E76003D"/>
    <w:multiLevelType w:val="singleLevel"/>
    <w:tmpl w:val="BDF4B83C"/>
    <w:lvl w:ilvl="0">
      <w:numFmt w:val="decimal"/>
      <w:lvlText w:val="*"/>
      <w:lvlJc w:val="left"/>
    </w:lvl>
  </w:abstractNum>
  <w:abstractNum w:abstractNumId="24" w15:restartNumberingAfterBreak="0">
    <w:nsid w:val="7BF25134"/>
    <w:multiLevelType w:val="singleLevel"/>
    <w:tmpl w:val="6DCCA5CE"/>
    <w:lvl w:ilvl="0">
      <w:start w:val="1"/>
      <w:numFmt w:val="none"/>
      <w:lvlText w:val=""/>
      <w:legacy w:legacy="1" w:legacySpace="0" w:legacyIndent="0"/>
      <w:lvlJc w:val="left"/>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lvl w:ilvl="0">
        <w:start w:val="1"/>
        <w:numFmt w:val="bullet"/>
        <w:pStyle w:val="Caption"/>
        <w:lvlText w:val=""/>
        <w:legacy w:legacy="1" w:legacySpace="0" w:legacyIndent="120"/>
        <w:lvlJc w:val="left"/>
        <w:pPr>
          <w:ind w:left="1920" w:hanging="120"/>
        </w:pPr>
        <w:rPr>
          <w:rFonts w:ascii="Symbol" w:hAnsi="Symbol" w:hint="default"/>
          <w:sz w:val="18"/>
        </w:rPr>
      </w:lvl>
    </w:lvlOverride>
  </w:num>
  <w:num w:numId="12">
    <w:abstractNumId w:val="20"/>
  </w:num>
  <w:num w:numId="13">
    <w:abstractNumId w:val="21"/>
  </w:num>
  <w:num w:numId="14">
    <w:abstractNumId w:val="10"/>
    <w:lvlOverride w:ilvl="0">
      <w:lvl w:ilvl="0">
        <w:start w:val="1"/>
        <w:numFmt w:val="bullet"/>
        <w:pStyle w:val="Caption"/>
        <w:lvlText w:val=""/>
        <w:legacy w:legacy="1" w:legacySpace="0" w:legacyIndent="360"/>
        <w:lvlJc w:val="left"/>
        <w:pPr>
          <w:ind w:left="1440" w:hanging="360"/>
        </w:pPr>
        <w:rPr>
          <w:rFonts w:ascii="Wingdings" w:hAnsi="Wingdings" w:hint="default"/>
          <w:sz w:val="16"/>
        </w:rPr>
      </w:lvl>
    </w:lvlOverride>
  </w:num>
  <w:num w:numId="15">
    <w:abstractNumId w:val="19"/>
  </w:num>
  <w:num w:numId="16">
    <w:abstractNumId w:val="22"/>
  </w:num>
  <w:num w:numId="17">
    <w:abstractNumId w:val="12"/>
  </w:num>
  <w:num w:numId="18">
    <w:abstractNumId w:val="21"/>
    <w:lvlOverride w:ilvl="0">
      <w:lvl w:ilvl="0">
        <w:start w:val="1"/>
        <w:numFmt w:val="decimal"/>
        <w:pStyle w:val="ListNumber"/>
        <w:lvlText w:val="%1)"/>
        <w:legacy w:legacy="1" w:legacySpace="0" w:legacyIndent="360"/>
        <w:lvlJc w:val="left"/>
        <w:pPr>
          <w:ind w:left="1440" w:hanging="360"/>
        </w:pPr>
        <w:rPr>
          <w:rFonts w:ascii="Symbol" w:hAnsi="Symbol" w:hint="default"/>
          <w:b w:val="0"/>
          <w:i w:val="0"/>
          <w:sz w:val="18"/>
        </w:rPr>
      </w:lvl>
    </w:lvlOverride>
  </w:num>
  <w:num w:numId="19">
    <w:abstractNumId w:val="17"/>
    <w:lvlOverride w:ilvl="0">
      <w:lvl w:ilvl="0">
        <w:start w:val="1"/>
        <w:numFmt w:val="bullet"/>
        <w:lvlText w:val=""/>
        <w:legacy w:legacy="1" w:legacySpace="0" w:legacyIndent="0"/>
        <w:lvlJc w:val="left"/>
        <w:pPr>
          <w:ind w:left="1080" w:firstLine="0"/>
        </w:pPr>
        <w:rPr>
          <w:rFonts w:ascii="Symbol" w:hAnsi="Symbol" w:hint="default"/>
        </w:rPr>
      </w:lvl>
    </w:lvlOverride>
  </w:num>
  <w:num w:numId="20">
    <w:abstractNumId w:val="23"/>
    <w:lvlOverride w:ilvl="0">
      <w:lvl w:ilvl="0">
        <w:start w:val="1"/>
        <w:numFmt w:val="bullet"/>
        <w:lvlText w:val=""/>
        <w:legacy w:legacy="1" w:legacySpace="0" w:legacyIndent="0"/>
        <w:lvlJc w:val="left"/>
        <w:pPr>
          <w:ind w:left="1080" w:firstLine="0"/>
        </w:pPr>
        <w:rPr>
          <w:rFonts w:ascii="Symbol" w:hAnsi="Symbol" w:hint="default"/>
        </w:rPr>
      </w:lvl>
    </w:lvlOverride>
  </w:num>
  <w:num w:numId="21">
    <w:abstractNumId w:val="18"/>
  </w:num>
  <w:num w:numId="22">
    <w:abstractNumId w:val="16"/>
  </w:num>
  <w:num w:numId="23">
    <w:abstractNumId w:val="15"/>
  </w:num>
  <w:num w:numId="24">
    <w:abstractNumId w:val="24"/>
  </w:num>
  <w:num w:numId="25">
    <w:abstractNumId w:val="14"/>
  </w:num>
  <w:num w:numId="26">
    <w:abstractNumId w:val="13"/>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CB1"/>
    <w:rsid w:val="00071FEE"/>
    <w:rsid w:val="000A08D0"/>
    <w:rsid w:val="001735D8"/>
    <w:rsid w:val="002D2A31"/>
    <w:rsid w:val="002F2E96"/>
    <w:rsid w:val="002F6869"/>
    <w:rsid w:val="00352BAF"/>
    <w:rsid w:val="00385B3B"/>
    <w:rsid w:val="003B0366"/>
    <w:rsid w:val="003C59EA"/>
    <w:rsid w:val="00502CB1"/>
    <w:rsid w:val="005808AC"/>
    <w:rsid w:val="0070099F"/>
    <w:rsid w:val="007D45CF"/>
    <w:rsid w:val="00873AB6"/>
    <w:rsid w:val="009D0EEF"/>
    <w:rsid w:val="00A37891"/>
    <w:rsid w:val="00B3621B"/>
    <w:rsid w:val="00B86F01"/>
    <w:rsid w:val="00BA4B2C"/>
    <w:rsid w:val="00D964AA"/>
    <w:rsid w:val="00DF131C"/>
    <w:rsid w:val="00E67D5D"/>
    <w:rsid w:val="00E91041"/>
    <w:rsid w:val="00ED3988"/>
    <w:rsid w:val="00F50021"/>
    <w:rsid w:val="00F71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ind w:left="1080"/>
    </w:pPr>
    <w:rPr>
      <w:rFonts w:ascii="Arial" w:hAnsi="Arial"/>
      <w:spacing w:val="-5"/>
    </w:rPr>
  </w:style>
  <w:style w:type="paragraph" w:styleId="Heading1">
    <w:name w:val="heading 1"/>
    <w:basedOn w:val="HeadingBase"/>
    <w:next w:val="BodyText"/>
    <w:qFormat/>
    <w:pPr>
      <w:pBdr>
        <w:top w:val="single" w:sz="48" w:space="3" w:color="FFFFFF"/>
        <w:left w:val="single" w:sz="6" w:space="3" w:color="FFFFFF"/>
        <w:bottom w:val="single" w:sz="6" w:space="3" w:color="FFFFFF"/>
      </w:pBdr>
      <w:shd w:val="solid" w:color="auto" w:fill="auto"/>
      <w:spacing w:before="0" w:after="240" w:line="240" w:lineRule="atLeast"/>
      <w:ind w:left="120"/>
      <w:outlineLvl w:val="0"/>
    </w:pPr>
    <w:rPr>
      <w:rFonts w:ascii="Arial Black" w:hAnsi="Arial Black"/>
      <w:color w:val="FFFFFF"/>
      <w:spacing w:val="-10"/>
      <w:kern w:val="20"/>
      <w:sz w:val="24"/>
    </w:rPr>
  </w:style>
  <w:style w:type="paragraph" w:styleId="Heading2">
    <w:name w:val="heading 2"/>
    <w:basedOn w:val="HeadingBase"/>
    <w:next w:val="BodyText"/>
    <w:qFormat/>
    <w:pPr>
      <w:spacing w:before="0" w:after="240" w:line="240" w:lineRule="atLeast"/>
      <w:ind w:left="0"/>
      <w:outlineLvl w:val="1"/>
    </w:pPr>
    <w:rPr>
      <w:rFonts w:ascii="Arial Black" w:hAnsi="Arial Black"/>
      <w:spacing w:val="-15"/>
    </w:rPr>
  </w:style>
  <w:style w:type="paragraph" w:styleId="Heading3">
    <w:name w:val="heading 3"/>
    <w:basedOn w:val="HeadingBase"/>
    <w:next w:val="BodyText"/>
    <w:qFormat/>
    <w:pPr>
      <w:spacing w:before="0" w:after="240" w:line="240" w:lineRule="atLeast"/>
      <w:outlineLvl w:val="2"/>
    </w:pPr>
    <w:rPr>
      <w:rFonts w:ascii="Arial Black" w:hAnsi="Arial Black"/>
      <w:spacing w:val="-10"/>
      <w:sz w:val="20"/>
    </w:rPr>
  </w:style>
  <w:style w:type="paragraph" w:styleId="Heading4">
    <w:name w:val="heading 4"/>
    <w:basedOn w:val="HeadingBase"/>
    <w:next w:val="BodyText"/>
    <w:qFormat/>
    <w:pPr>
      <w:spacing w:before="0" w:after="240" w:line="240" w:lineRule="atLeast"/>
      <w:outlineLvl w:val="3"/>
    </w:pPr>
  </w:style>
  <w:style w:type="paragraph" w:styleId="Heading5">
    <w:name w:val="heading 5"/>
    <w:basedOn w:val="HeadingBase"/>
    <w:next w:val="BodyText"/>
    <w:qFormat/>
    <w:pPr>
      <w:spacing w:before="0" w:line="240" w:lineRule="atLeast"/>
      <w:ind w:left="1440"/>
      <w:outlineLvl w:val="4"/>
    </w:pPr>
    <w:rPr>
      <w:sz w:val="20"/>
    </w:rPr>
  </w:style>
  <w:style w:type="paragraph" w:styleId="Heading6">
    <w:name w:val="heading 6"/>
    <w:basedOn w:val="HeadingBase"/>
    <w:next w:val="BodyText"/>
    <w:qFormat/>
    <w:pPr>
      <w:ind w:left="1440"/>
      <w:outlineLvl w:val="5"/>
    </w:pPr>
    <w:rPr>
      <w:i/>
      <w:sz w:val="20"/>
    </w:rPr>
  </w:style>
  <w:style w:type="paragraph" w:styleId="Heading7">
    <w:name w:val="heading 7"/>
    <w:basedOn w:val="HeadingBase"/>
    <w:next w:val="BodyText"/>
    <w:qFormat/>
    <w:pPr>
      <w:outlineLvl w:val="6"/>
    </w:pPr>
    <w:rPr>
      <w:sz w:val="20"/>
    </w:rPr>
  </w:style>
  <w:style w:type="paragraph" w:styleId="Heading8">
    <w:name w:val="heading 8"/>
    <w:basedOn w:val="HeadingBase"/>
    <w:next w:val="BodyText"/>
    <w:qFormat/>
    <w:pPr>
      <w:outlineLvl w:val="7"/>
    </w:pPr>
    <w:rPr>
      <w:i/>
      <w:sz w:val="18"/>
    </w:rPr>
  </w:style>
  <w:style w:type="paragraph" w:styleId="Heading9">
    <w:name w:val="heading 9"/>
    <w:basedOn w:val="HeadingBase"/>
    <w:next w:val="BodyText"/>
    <w:qFormat/>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paragraph" w:styleId="Title">
    <w:name w:val="Title"/>
    <w:basedOn w:val="HeadingBase"/>
    <w:next w:val="Subtitle"/>
    <w:qFormat/>
    <w:pPr>
      <w:pBdr>
        <w:top w:val="single" w:sz="6" w:space="16" w:color="auto"/>
      </w:pBdr>
      <w:spacing w:before="220" w:after="60" w:line="320" w:lineRule="atLeast"/>
      <w:ind w:left="0"/>
    </w:pPr>
    <w:rPr>
      <w:rFonts w:ascii="Arial Black" w:hAnsi="Arial Black"/>
      <w:spacing w:val="-30"/>
      <w:sz w:val="40"/>
    </w:rPr>
  </w:style>
  <w:style w:type="paragraph" w:styleId="Header">
    <w:name w:val="header"/>
    <w:basedOn w:val="HeaderBase"/>
  </w:style>
  <w:style w:type="paragraph" w:styleId="Footer">
    <w:name w:val="footer"/>
    <w:basedOn w:val="HeaderBase"/>
  </w:style>
  <w:style w:type="character" w:styleId="PageNumber">
    <w:name w:val="page number"/>
    <w:rPr>
      <w:rFonts w:ascii="Arial Black" w:hAnsi="Arial Black"/>
      <w:spacing w:val="-10"/>
      <w:sz w:val="18"/>
    </w:rPr>
  </w:style>
  <w:style w:type="paragraph" w:customStyle="1" w:styleId="Policy1">
    <w:name w:val="Policy 1"/>
    <w:basedOn w:val="Normal"/>
    <w:pPr>
      <w:tabs>
        <w:tab w:val="left" w:pos="-1440"/>
        <w:tab w:val="left" w:pos="-720"/>
        <w:tab w:val="left" w:pos="0"/>
        <w:tab w:val="left" w:pos="360"/>
        <w:tab w:val="left" w:pos="1440"/>
        <w:tab w:val="left" w:pos="1890"/>
        <w:tab w:val="left" w:pos="2880"/>
        <w:tab w:val="right" w:pos="9216"/>
      </w:tabs>
      <w:ind w:firstLine="360"/>
    </w:pPr>
    <w:rPr>
      <w:rFonts w:ascii="Arial Narrow" w:hAnsi="Arial Narrow"/>
      <w:sz w:val="24"/>
    </w:rPr>
  </w:style>
  <w:style w:type="paragraph" w:customStyle="1" w:styleId="BlockQuotation">
    <w:name w:val="Block Quotation"/>
    <w:basedOn w:val="Normal"/>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hAnsi="Arial Narrow"/>
    </w:rPr>
  </w:style>
  <w:style w:type="paragraph" w:styleId="BodyText">
    <w:name w:val="Body Text"/>
    <w:basedOn w:val="Normal"/>
    <w:pPr>
      <w:spacing w:after="240" w:line="240" w:lineRule="atLeast"/>
      <w:jc w:val="both"/>
    </w:pPr>
  </w:style>
  <w:style w:type="paragraph" w:styleId="BodyTextIndent">
    <w:name w:val="Body Text Indent"/>
    <w:basedOn w:val="BodyText"/>
    <w:pPr>
      <w:ind w:left="1440"/>
    </w:pPr>
  </w:style>
  <w:style w:type="paragraph" w:customStyle="1" w:styleId="BodyTextKeep">
    <w:name w:val="Body Text Keep"/>
    <w:basedOn w:val="BodyText"/>
    <w:pPr>
      <w:keepNext/>
    </w:pPr>
  </w:style>
  <w:style w:type="paragraph" w:customStyle="1" w:styleId="Picture">
    <w:name w:val="Picture"/>
    <w:basedOn w:val="Normal"/>
    <w:next w:val="Caption"/>
    <w:pPr>
      <w:keepNext/>
    </w:pPr>
  </w:style>
  <w:style w:type="paragraph" w:styleId="Caption">
    <w:name w:val="caption"/>
    <w:basedOn w:val="Picture"/>
    <w:next w:val="BodyText"/>
    <w:qFormat/>
    <w:pPr>
      <w:numPr>
        <w:numId w:val="11"/>
      </w:numPr>
      <w:spacing w:before="60" w:after="240" w:line="220" w:lineRule="atLeast"/>
    </w:pPr>
    <w:rPr>
      <w:rFonts w:ascii="Arial Narrow" w:hAnsi="Arial Narrow"/>
      <w:spacing w:val="0"/>
      <w:sz w:val="18"/>
    </w:rPr>
  </w:style>
  <w:style w:type="paragraph" w:customStyle="1" w:styleId="PartLabel">
    <w:name w:val="Part Label"/>
    <w:basedOn w:val="Normal"/>
    <w:pPr>
      <w:shd w:val="solid" w:color="auto" w:fill="auto"/>
      <w:spacing w:line="360" w:lineRule="exact"/>
      <w:ind w:left="0"/>
      <w:jc w:val="center"/>
    </w:pPr>
    <w:rPr>
      <w:color w:val="FFFFFF"/>
      <w:spacing w:val="-16"/>
      <w:sz w:val="26"/>
    </w:rPr>
  </w:style>
  <w:style w:type="paragraph" w:customStyle="1" w:styleId="PartTitle">
    <w:name w:val="Part Title"/>
    <w:basedOn w:val="Normal"/>
    <w:pPr>
      <w:shd w:val="solid" w:color="auto" w:fill="auto"/>
      <w:spacing w:line="660" w:lineRule="exact"/>
      <w:ind w:left="0"/>
      <w:jc w:val="center"/>
    </w:pPr>
    <w:rPr>
      <w:rFonts w:ascii="Arial Black" w:hAnsi="Arial Black"/>
      <w:color w:val="FFFFFF"/>
      <w:spacing w:val="-40"/>
      <w:sz w:val="84"/>
    </w:rPr>
  </w:style>
  <w:style w:type="paragraph" w:customStyle="1" w:styleId="HeadingBase">
    <w:name w:val="Heading Base"/>
    <w:basedOn w:val="Normal"/>
    <w:next w:val="BodyText"/>
    <w:pPr>
      <w:keepNext/>
      <w:keepLines/>
      <w:spacing w:before="140" w:line="220" w:lineRule="atLeast"/>
    </w:pPr>
    <w:rPr>
      <w:spacing w:val="-4"/>
      <w:kern w:val="28"/>
      <w:sz w:val="22"/>
    </w:rPr>
  </w:style>
  <w:style w:type="paragraph" w:styleId="Subtitle">
    <w:name w:val="Subtitle"/>
    <w:basedOn w:val="Title"/>
    <w:next w:val="BodyText"/>
    <w:qFormat/>
    <w:pPr>
      <w:pBdr>
        <w:top w:val="none" w:sz="0" w:space="0" w:color="auto"/>
      </w:pBdr>
      <w:spacing w:before="60" w:after="120" w:line="340" w:lineRule="atLeast"/>
    </w:pPr>
    <w:rPr>
      <w:rFonts w:ascii="Arial" w:hAnsi="Arial"/>
      <w:spacing w:val="-16"/>
      <w:sz w:val="32"/>
    </w:rPr>
  </w:style>
  <w:style w:type="paragraph" w:customStyle="1" w:styleId="ChapterSubtitle">
    <w:name w:val="Chapter Subtitle"/>
    <w:basedOn w:val="Subtitle"/>
  </w:style>
  <w:style w:type="paragraph" w:customStyle="1" w:styleId="CompanyName">
    <w:name w:val="Company Name"/>
    <w:basedOn w:val="Normal"/>
    <w:pPr>
      <w:keepNext/>
      <w:keepLines/>
      <w:spacing w:line="220" w:lineRule="atLeast"/>
      <w:ind w:left="0"/>
    </w:pPr>
    <w:rPr>
      <w:rFonts w:ascii="Arial Black" w:hAnsi="Arial Black"/>
      <w:spacing w:val="-25"/>
      <w:kern w:val="28"/>
      <w:sz w:val="32"/>
    </w:rPr>
  </w:style>
  <w:style w:type="paragraph" w:customStyle="1" w:styleId="ChapterTitle">
    <w:name w:val="Chapter Title"/>
    <w:basedOn w:val="Normal"/>
    <w:pPr>
      <w:spacing w:before="120" w:line="660" w:lineRule="exact"/>
      <w:ind w:left="0"/>
      <w:jc w:val="center"/>
    </w:pPr>
    <w:rPr>
      <w:rFonts w:ascii="Arial Black" w:hAnsi="Arial Black"/>
      <w:color w:val="FFFFFF"/>
      <w:spacing w:val="-40"/>
      <w:sz w:val="84"/>
    </w:rPr>
  </w:style>
  <w:style w:type="character" w:styleId="CommentReference">
    <w:name w:val="annotation reference"/>
    <w:semiHidden/>
    <w:rPr>
      <w:rFonts w:ascii="Arial" w:hAnsi="Arial"/>
      <w:sz w:val="16"/>
    </w:rPr>
  </w:style>
  <w:style w:type="paragraph" w:customStyle="1" w:styleId="FootnoteBase">
    <w:name w:val="Footnote Base"/>
    <w:basedOn w:val="Normal"/>
    <w:pPr>
      <w:keepLines/>
      <w:spacing w:line="200" w:lineRule="atLeast"/>
    </w:pPr>
    <w:rPr>
      <w:sz w:val="16"/>
    </w:rPr>
  </w:style>
  <w:style w:type="paragraph" w:styleId="CommentText">
    <w:name w:val="annotation text"/>
    <w:basedOn w:val="FootnoteBase"/>
    <w:semiHidden/>
  </w:style>
  <w:style w:type="paragraph" w:customStyle="1" w:styleId="TableText">
    <w:name w:val="Table Text"/>
    <w:basedOn w:val="Normal"/>
    <w:pPr>
      <w:spacing w:before="60"/>
      <w:ind w:left="0"/>
    </w:pPr>
    <w:rPr>
      <w:sz w:val="16"/>
    </w:rPr>
  </w:style>
  <w:style w:type="paragraph" w:customStyle="1" w:styleId="TitleCover">
    <w:name w:val="Title Cover"/>
    <w:basedOn w:val="HeadingBase"/>
    <w:next w:val="Normal"/>
    <w:pPr>
      <w:pBdr>
        <w:top w:val="single" w:sz="48" w:space="31" w:color="auto"/>
      </w:pBdr>
      <w:tabs>
        <w:tab w:val="left" w:pos="0"/>
      </w:tabs>
      <w:spacing w:before="240" w:after="500" w:line="640" w:lineRule="exact"/>
      <w:ind w:left="0"/>
    </w:pPr>
    <w:rPr>
      <w:rFonts w:ascii="Arial Black" w:hAnsi="Arial Black"/>
      <w:b/>
      <w:spacing w:val="-48"/>
      <w:sz w:val="64"/>
    </w:rPr>
  </w:style>
  <w:style w:type="paragraph" w:customStyle="1" w:styleId="DocumentLabel">
    <w:name w:val="Document Label"/>
    <w:basedOn w:val="TitleCover"/>
  </w:style>
  <w:style w:type="character" w:styleId="Emphasis">
    <w:name w:val="Emphasis"/>
    <w:qFormat/>
    <w:rPr>
      <w:rFonts w:ascii="Arial Black" w:hAnsi="Arial Black"/>
      <w:spacing w:val="-4"/>
      <w:sz w:val="18"/>
    </w:rPr>
  </w:style>
  <w:style w:type="character" w:styleId="EndnoteReference">
    <w:name w:val="endnote reference"/>
    <w:semiHidden/>
    <w:rPr>
      <w:vertAlign w:val="superscript"/>
    </w:rPr>
  </w:style>
  <w:style w:type="paragraph" w:styleId="EndnoteText">
    <w:name w:val="endnote text"/>
    <w:basedOn w:val="FootnoteBase"/>
    <w:semiHidden/>
  </w:style>
  <w:style w:type="paragraph" w:customStyle="1" w:styleId="HeaderBase">
    <w:name w:val="Header Base"/>
    <w:basedOn w:val="Normal"/>
    <w:pPr>
      <w:keepLines/>
      <w:tabs>
        <w:tab w:val="center" w:pos="4320"/>
        <w:tab w:val="right" w:pos="8640"/>
      </w:tabs>
      <w:spacing w:line="190" w:lineRule="atLeast"/>
    </w:pPr>
    <w:rPr>
      <w:caps/>
      <w:sz w:val="15"/>
    </w:rPr>
  </w:style>
  <w:style w:type="paragraph" w:customStyle="1" w:styleId="FooterEven">
    <w:name w:val="Footer Even"/>
    <w:basedOn w:val="Footer"/>
    <w:pPr>
      <w:pBdr>
        <w:top w:val="single" w:sz="6" w:space="2" w:color="auto"/>
      </w:pBdr>
      <w:spacing w:before="600"/>
    </w:pPr>
  </w:style>
  <w:style w:type="paragraph" w:customStyle="1" w:styleId="FooterFirst">
    <w:name w:val="Footer First"/>
    <w:basedOn w:val="Footer"/>
    <w:pPr>
      <w:pBdr>
        <w:top w:val="single" w:sz="6" w:space="2" w:color="auto"/>
      </w:pBdr>
      <w:spacing w:before="600"/>
    </w:pPr>
  </w:style>
  <w:style w:type="paragraph" w:customStyle="1" w:styleId="FooterOdd">
    <w:name w:val="Footer Odd"/>
    <w:basedOn w:val="Footer"/>
    <w:pPr>
      <w:pBdr>
        <w:top w:val="single" w:sz="6" w:space="2" w:color="auto"/>
      </w:pBdr>
      <w:spacing w:before="600"/>
    </w:pPr>
  </w:style>
  <w:style w:type="paragraph" w:styleId="FootnoteText">
    <w:name w:val="footnote text"/>
    <w:basedOn w:val="FootnoteBase"/>
    <w:semiHidden/>
  </w:style>
  <w:style w:type="paragraph" w:customStyle="1" w:styleId="HeaderEven">
    <w:name w:val="Header Even"/>
    <w:basedOn w:val="Header"/>
    <w:pPr>
      <w:pBdr>
        <w:bottom w:val="single" w:sz="6" w:space="1" w:color="auto"/>
      </w:pBdr>
      <w:spacing w:after="600"/>
    </w:pPr>
  </w:style>
  <w:style w:type="paragraph" w:customStyle="1" w:styleId="HeaderFirst">
    <w:name w:val="Header First"/>
    <w:basedOn w:val="Header"/>
    <w:pPr>
      <w:pBdr>
        <w:top w:val="single" w:sz="6" w:space="2" w:color="auto"/>
      </w:pBdr>
      <w:jc w:val="right"/>
    </w:pPr>
  </w:style>
  <w:style w:type="paragraph" w:customStyle="1" w:styleId="HeaderOdd">
    <w:name w:val="Header Odd"/>
    <w:basedOn w:val="Header"/>
    <w:pPr>
      <w:pBdr>
        <w:bottom w:val="single" w:sz="6" w:space="1" w:color="auto"/>
      </w:pBdr>
      <w:spacing w:after="600"/>
    </w:pPr>
  </w:style>
  <w:style w:type="paragraph" w:customStyle="1" w:styleId="IndexBase">
    <w:name w:val="Index Base"/>
    <w:basedOn w:val="Normal"/>
    <w:pPr>
      <w:spacing w:line="240" w:lineRule="atLeast"/>
      <w:ind w:left="360" w:hanging="360"/>
    </w:pPr>
    <w:rPr>
      <w:sz w:val="18"/>
    </w:rPr>
  </w:style>
  <w:style w:type="paragraph" w:styleId="Index1">
    <w:name w:val="index 1"/>
    <w:basedOn w:val="IndexBase"/>
    <w:autoRedefine/>
    <w:semiHidden/>
  </w:style>
  <w:style w:type="paragraph" w:styleId="Index2">
    <w:name w:val="index 2"/>
    <w:basedOn w:val="IndexBase"/>
    <w:autoRedefine/>
    <w:semiHidden/>
    <w:pPr>
      <w:spacing w:line="240" w:lineRule="auto"/>
      <w:ind w:left="720"/>
    </w:pPr>
  </w:style>
  <w:style w:type="paragraph" w:styleId="Index3">
    <w:name w:val="index 3"/>
    <w:basedOn w:val="IndexBase"/>
    <w:autoRedefine/>
    <w:semiHidden/>
    <w:pPr>
      <w:spacing w:line="240" w:lineRule="auto"/>
      <w:ind w:left="1080"/>
    </w:pPr>
  </w:style>
  <w:style w:type="paragraph" w:styleId="Index4">
    <w:name w:val="index 4"/>
    <w:basedOn w:val="IndexBase"/>
    <w:autoRedefine/>
    <w:semiHidden/>
    <w:pPr>
      <w:spacing w:line="240" w:lineRule="auto"/>
      <w:ind w:left="1440"/>
    </w:pPr>
  </w:style>
  <w:style w:type="paragraph" w:styleId="Index5">
    <w:name w:val="index 5"/>
    <w:basedOn w:val="IndexBase"/>
    <w:autoRedefine/>
    <w:semiHidden/>
    <w:pPr>
      <w:spacing w:line="240" w:lineRule="auto"/>
      <w:ind w:left="1800"/>
    </w:pPr>
  </w:style>
  <w:style w:type="paragraph" w:styleId="IndexHeading">
    <w:name w:val="index heading"/>
    <w:basedOn w:val="HeadingBase"/>
    <w:next w:val="Index1"/>
    <w:semiHidden/>
    <w:pPr>
      <w:keepLines w:val="0"/>
      <w:spacing w:before="0" w:line="480" w:lineRule="atLeast"/>
      <w:ind w:left="0"/>
    </w:pPr>
    <w:rPr>
      <w:rFonts w:ascii="Arial Black" w:hAnsi="Arial Black"/>
      <w:spacing w:val="-5"/>
      <w:kern w:val="0"/>
      <w:sz w:val="24"/>
    </w:rPr>
  </w:style>
  <w:style w:type="character" w:customStyle="1" w:styleId="Lead-inEmphasis">
    <w:name w:val="Lead-in Emphasis"/>
    <w:rPr>
      <w:rFonts w:ascii="Arial Black" w:hAnsi="Arial Black"/>
      <w:spacing w:val="-4"/>
      <w:sz w:val="18"/>
    </w:rPr>
  </w:style>
  <w:style w:type="character" w:styleId="LineNumber">
    <w:name w:val="line number"/>
    <w:rPr>
      <w:sz w:val="18"/>
    </w:rPr>
  </w:style>
  <w:style w:type="paragraph" w:styleId="List">
    <w:name w:val="List"/>
    <w:basedOn w:val="BodyText"/>
    <w:pPr>
      <w:ind w:left="1440" w:hanging="360"/>
    </w:pPr>
  </w:style>
  <w:style w:type="paragraph" w:styleId="List2">
    <w:name w:val="List 2"/>
    <w:basedOn w:val="List"/>
    <w:pPr>
      <w:ind w:left="1800"/>
    </w:pPr>
  </w:style>
  <w:style w:type="paragraph" w:styleId="List3">
    <w:name w:val="List 3"/>
    <w:basedOn w:val="List"/>
    <w:pPr>
      <w:ind w:left="2160"/>
    </w:pPr>
  </w:style>
  <w:style w:type="paragraph" w:styleId="List4">
    <w:name w:val="List 4"/>
    <w:basedOn w:val="List"/>
    <w:pPr>
      <w:ind w:left="2520"/>
    </w:pPr>
  </w:style>
  <w:style w:type="paragraph" w:styleId="List5">
    <w:name w:val="List 5"/>
    <w:basedOn w:val="List"/>
    <w:pPr>
      <w:ind w:left="2880"/>
    </w:pPr>
  </w:style>
  <w:style w:type="paragraph" w:styleId="ListBullet">
    <w:name w:val="List Bullet"/>
    <w:basedOn w:val="List"/>
    <w:pPr>
      <w:numPr>
        <w:numId w:val="12"/>
      </w:numPr>
      <w:tabs>
        <w:tab w:val="clear" w:pos="1440"/>
      </w:tabs>
    </w:pPr>
  </w:style>
  <w:style w:type="paragraph" w:styleId="ListBullet2">
    <w:name w:val="List Bullet 2"/>
    <w:basedOn w:val="ListBullet"/>
    <w:autoRedefine/>
    <w:pPr>
      <w:ind w:left="1800"/>
    </w:pPr>
  </w:style>
  <w:style w:type="paragraph" w:styleId="ListBullet3">
    <w:name w:val="List Bullet 3"/>
    <w:basedOn w:val="ListBullet"/>
    <w:autoRedefine/>
    <w:pPr>
      <w:ind w:left="2160"/>
    </w:pPr>
  </w:style>
  <w:style w:type="paragraph" w:styleId="ListBullet4">
    <w:name w:val="List Bullet 4"/>
    <w:basedOn w:val="ListBullet"/>
    <w:autoRedefine/>
    <w:pPr>
      <w:ind w:left="2520"/>
    </w:pPr>
  </w:style>
  <w:style w:type="paragraph" w:styleId="ListBullet5">
    <w:name w:val="List Bullet 5"/>
    <w:basedOn w:val="ListBullet"/>
    <w:autoRedefine/>
    <w:pPr>
      <w:ind w:left="2880"/>
    </w:pPr>
  </w:style>
  <w:style w:type="paragraph" w:styleId="ListContinue">
    <w:name w:val="List Continue"/>
    <w:basedOn w:val="List"/>
    <w:pPr>
      <w:ind w:firstLine="0"/>
    </w:pPr>
  </w:style>
  <w:style w:type="paragraph" w:styleId="ListContinue2">
    <w:name w:val="List Continue 2"/>
    <w:basedOn w:val="ListContinue"/>
    <w:pPr>
      <w:ind w:left="2160"/>
    </w:pPr>
  </w:style>
  <w:style w:type="paragraph" w:styleId="ListContinue3">
    <w:name w:val="List Continue 3"/>
    <w:basedOn w:val="ListContinue"/>
    <w:pPr>
      <w:ind w:left="2520"/>
    </w:pPr>
  </w:style>
  <w:style w:type="paragraph" w:styleId="ListContinue4">
    <w:name w:val="List Continue 4"/>
    <w:basedOn w:val="ListContinue"/>
    <w:pPr>
      <w:ind w:left="2880"/>
    </w:pPr>
  </w:style>
  <w:style w:type="paragraph" w:styleId="ListContinue5">
    <w:name w:val="List Continue 5"/>
    <w:basedOn w:val="ListContinue"/>
    <w:pPr>
      <w:ind w:left="3240"/>
    </w:pPr>
  </w:style>
  <w:style w:type="paragraph" w:styleId="ListNumber">
    <w:name w:val="List Number"/>
    <w:basedOn w:val="List"/>
    <w:pPr>
      <w:numPr>
        <w:numId w:val="13"/>
      </w:numPr>
    </w:pPr>
  </w:style>
  <w:style w:type="paragraph" w:styleId="ListNumber2">
    <w:name w:val="List Number 2"/>
    <w:basedOn w:val="ListNumber"/>
    <w:pPr>
      <w:ind w:left="1800"/>
    </w:pPr>
  </w:style>
  <w:style w:type="paragraph" w:styleId="ListNumber3">
    <w:name w:val="List Number 3"/>
    <w:basedOn w:val="ListNumber"/>
    <w:pPr>
      <w:ind w:left="2160"/>
    </w:pPr>
  </w:style>
  <w:style w:type="paragraph" w:styleId="ListNumber4">
    <w:name w:val="List Number 4"/>
    <w:basedOn w:val="ListNumber"/>
    <w:pPr>
      <w:ind w:left="2520"/>
    </w:pPr>
  </w:style>
  <w:style w:type="paragraph" w:styleId="ListNumber5">
    <w:name w:val="List Number 5"/>
    <w:basedOn w:val="ListNumber"/>
    <w:pPr>
      <w:ind w:left="2880"/>
    </w:pPr>
  </w:style>
  <w:style w:type="paragraph" w:customStyle="1" w:styleId="TableHeader">
    <w:name w:val="Table Header"/>
    <w:basedOn w:val="Normal"/>
    <w:pPr>
      <w:spacing w:before="60"/>
      <w:ind w:left="0"/>
      <w:jc w:val="center"/>
    </w:pPr>
    <w:rPr>
      <w:rFonts w:ascii="Arial Black" w:hAnsi="Arial Black"/>
      <w:sz w:val="16"/>
    </w:rPr>
  </w:style>
  <w:style w:type="paragraph" w:styleId="MessageHeader">
    <w:name w:val="Message Header"/>
    <w:basedOn w:val="BodyText"/>
    <w:pPr>
      <w:keepLines/>
      <w:tabs>
        <w:tab w:val="left" w:pos="3600"/>
        <w:tab w:val="left" w:pos="4680"/>
      </w:tabs>
      <w:spacing w:after="120" w:line="280" w:lineRule="exact"/>
      <w:ind w:right="2160" w:hanging="1080"/>
      <w:jc w:val="left"/>
    </w:pPr>
    <w:rPr>
      <w:spacing w:val="0"/>
      <w:sz w:val="22"/>
    </w:rPr>
  </w:style>
  <w:style w:type="paragraph" w:styleId="NormalIndent">
    <w:name w:val="Normal Indent"/>
    <w:basedOn w:val="Normal"/>
    <w:pPr>
      <w:ind w:left="1440"/>
    </w:pPr>
  </w:style>
  <w:style w:type="paragraph" w:customStyle="1" w:styleId="PartSubtitle">
    <w:name w:val="Part Subtitle"/>
    <w:basedOn w:val="Normal"/>
    <w:next w:val="BodyText"/>
    <w:pPr>
      <w:keepNext/>
      <w:spacing w:before="360" w:after="120"/>
    </w:pPr>
    <w:rPr>
      <w:i/>
      <w:kern w:val="28"/>
      <w:sz w:val="26"/>
    </w:rPr>
  </w:style>
  <w:style w:type="paragraph" w:customStyle="1" w:styleId="ReturnAddress">
    <w:name w:val="Return Address"/>
    <w:basedOn w:val="Normal"/>
    <w:pPr>
      <w:keepLines/>
      <w:framePr w:w="5160" w:h="840" w:wrap="notBeside" w:vAnchor="page" w:hAnchor="page" w:x="6121" w:y="915" w:anchorLock="1"/>
      <w:tabs>
        <w:tab w:val="left" w:pos="2160"/>
      </w:tabs>
      <w:spacing w:line="160" w:lineRule="atLeast"/>
      <w:ind w:left="0"/>
    </w:pPr>
    <w:rPr>
      <w:spacing w:val="0"/>
      <w:sz w:val="14"/>
    </w:rPr>
  </w:style>
  <w:style w:type="paragraph" w:customStyle="1" w:styleId="SectionHeading">
    <w:name w:val="Section Heading"/>
    <w:basedOn w:val="Heading1"/>
  </w:style>
  <w:style w:type="paragraph" w:customStyle="1" w:styleId="SectionLabel">
    <w:name w:val="Section Label"/>
    <w:basedOn w:val="HeadingBase"/>
    <w:next w:val="BodyText"/>
    <w:pPr>
      <w:pBdr>
        <w:bottom w:val="single" w:sz="6" w:space="2" w:color="auto"/>
      </w:pBdr>
      <w:spacing w:before="360" w:after="960"/>
      <w:ind w:left="0"/>
    </w:pPr>
    <w:rPr>
      <w:rFonts w:ascii="Arial Black" w:hAnsi="Arial Black"/>
      <w:spacing w:val="-35"/>
      <w:sz w:val="54"/>
    </w:rPr>
  </w:style>
  <w:style w:type="character" w:customStyle="1" w:styleId="Slogan">
    <w:name w:val="Slogan"/>
    <w:rPr>
      <w:i/>
      <w:spacing w:val="-6"/>
      <w:sz w:val="24"/>
    </w:rPr>
  </w:style>
  <w:style w:type="paragraph" w:customStyle="1" w:styleId="SubtitleCover">
    <w:name w:val="Subtitle Cover"/>
    <w:basedOn w:val="TitleCover"/>
    <w:next w:val="BodyText"/>
    <w:pPr>
      <w:pBdr>
        <w:top w:val="single" w:sz="6" w:space="24" w:color="auto"/>
      </w:pBdr>
      <w:tabs>
        <w:tab w:val="clear" w:pos="0"/>
      </w:tabs>
      <w:spacing w:before="0" w:after="0" w:line="480" w:lineRule="atLeast"/>
      <w:ind w:left="835" w:right="835"/>
    </w:pPr>
    <w:rPr>
      <w:rFonts w:ascii="Arial" w:hAnsi="Arial"/>
      <w:b w:val="0"/>
      <w:spacing w:val="-30"/>
      <w:sz w:val="48"/>
    </w:rPr>
  </w:style>
  <w:style w:type="character" w:customStyle="1" w:styleId="Superscript">
    <w:name w:val="Superscript"/>
    <w:rPr>
      <w:b/>
      <w:vertAlign w:val="superscript"/>
    </w:rPr>
  </w:style>
  <w:style w:type="paragraph" w:styleId="TableofAuthorities">
    <w:name w:val="table of authorities"/>
    <w:basedOn w:val="Normal"/>
    <w:semiHidden/>
    <w:pPr>
      <w:tabs>
        <w:tab w:val="right" w:leader="dot" w:pos="7560"/>
      </w:tabs>
      <w:ind w:left="1440" w:hanging="360"/>
    </w:pPr>
  </w:style>
  <w:style w:type="paragraph" w:customStyle="1" w:styleId="TOCBase">
    <w:name w:val="TOC Base"/>
    <w:basedOn w:val="Normal"/>
    <w:pPr>
      <w:tabs>
        <w:tab w:val="right" w:leader="dot" w:pos="6480"/>
      </w:tabs>
      <w:spacing w:after="240" w:line="240" w:lineRule="atLeast"/>
      <w:ind w:left="0"/>
    </w:pPr>
  </w:style>
  <w:style w:type="paragraph" w:styleId="TableofFigures">
    <w:name w:val="table of figures"/>
    <w:basedOn w:val="TOCBase"/>
    <w:semiHidden/>
    <w:pPr>
      <w:ind w:left="1440" w:hanging="360"/>
    </w:pPr>
  </w:style>
  <w:style w:type="paragraph" w:styleId="TOAHeading">
    <w:name w:val="toa heading"/>
    <w:basedOn w:val="Normal"/>
    <w:next w:val="TableofAuthorities"/>
    <w:semiHidden/>
    <w:pPr>
      <w:keepNext/>
      <w:spacing w:line="480" w:lineRule="atLeast"/>
    </w:pPr>
    <w:rPr>
      <w:rFonts w:ascii="Arial Black" w:hAnsi="Arial Black"/>
      <w:b/>
      <w:spacing w:val="-10"/>
      <w:kern w:val="28"/>
    </w:rPr>
  </w:style>
  <w:style w:type="paragraph" w:styleId="TOC1">
    <w:name w:val="toc 1"/>
    <w:basedOn w:val="TOCBase"/>
    <w:autoRedefine/>
    <w:semiHidden/>
    <w:rPr>
      <w:spacing w:val="-4"/>
    </w:rPr>
  </w:style>
  <w:style w:type="paragraph" w:styleId="TOC2">
    <w:name w:val="toc 2"/>
    <w:basedOn w:val="TOCBase"/>
    <w:autoRedefine/>
    <w:semiHidden/>
    <w:pPr>
      <w:ind w:left="360"/>
    </w:pPr>
  </w:style>
  <w:style w:type="paragraph" w:styleId="TOC3">
    <w:name w:val="toc 3"/>
    <w:basedOn w:val="TOCBase"/>
    <w:autoRedefine/>
    <w:semiHidden/>
    <w:pPr>
      <w:ind w:left="360"/>
    </w:pPr>
  </w:style>
  <w:style w:type="paragraph" w:styleId="TOC4">
    <w:name w:val="toc 4"/>
    <w:basedOn w:val="TOCBase"/>
    <w:autoRedefine/>
    <w:semiHidden/>
    <w:pPr>
      <w:ind w:left="360"/>
    </w:pPr>
  </w:style>
  <w:style w:type="paragraph" w:styleId="TOC5">
    <w:name w:val="toc 5"/>
    <w:basedOn w:val="TOCBase"/>
    <w:autoRedefine/>
    <w:semiHidden/>
    <w:pPr>
      <w:ind w:left="360"/>
    </w:pPr>
  </w:style>
  <w:style w:type="paragraph" w:customStyle="1" w:styleId="CSDAPolicy1">
    <w:name w:val="CSDA Policy 1"/>
    <w:basedOn w:val="Normal"/>
    <w:pPr>
      <w:tabs>
        <w:tab w:val="left" w:pos="-1440"/>
        <w:tab w:val="left" w:pos="-720"/>
        <w:tab w:val="left" w:pos="0"/>
        <w:tab w:val="left" w:pos="810"/>
        <w:tab w:val="left" w:pos="1800"/>
        <w:tab w:val="left" w:pos="2160"/>
        <w:tab w:val="left" w:pos="2880"/>
        <w:tab w:val="left" w:pos="3600"/>
        <w:tab w:val="left" w:pos="4320"/>
        <w:tab w:val="left" w:pos="5040"/>
        <w:tab w:val="left" w:pos="5760"/>
      </w:tabs>
      <w:ind w:left="0"/>
    </w:pPr>
    <w:rPr>
      <w:rFonts w:ascii="Arial Narrow" w:hAnsi="Arial Narrow"/>
      <w:sz w:val="24"/>
    </w:rPr>
  </w:style>
  <w:style w:type="paragraph" w:styleId="BalloonText">
    <w:name w:val="Balloon Text"/>
    <w:basedOn w:val="Normal"/>
    <w:link w:val="BalloonTextChar"/>
    <w:rsid w:val="00D964AA"/>
    <w:rPr>
      <w:rFonts w:ascii="Tahoma" w:hAnsi="Tahoma" w:cs="Tahoma"/>
      <w:sz w:val="16"/>
      <w:szCs w:val="16"/>
    </w:rPr>
  </w:style>
  <w:style w:type="character" w:customStyle="1" w:styleId="BalloonTextChar">
    <w:name w:val="Balloon Text Char"/>
    <w:link w:val="BalloonText"/>
    <w:rsid w:val="00D964AA"/>
    <w:rPr>
      <w:rFonts w:ascii="Tahoma" w:hAnsi="Tahoma" w:cs="Tahoma"/>
      <w:spacing w:val="-5"/>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416</Words>
  <Characters>2375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_</vt:lpstr>
    </vt:vector>
  </TitlesOfParts>
  <LinksUpToDate>false</LinksUpToDate>
  <CharactersWithSpaces>2786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
  <cp:lastModifiedBy/>
  <cp:revision>1</cp:revision>
  <cp:lastPrinted>2017-03-23T22:19:00Z</cp:lastPrinted>
  <dcterms:created xsi:type="dcterms:W3CDTF">2017-04-10T17:12:00Z</dcterms:created>
  <dcterms:modified xsi:type="dcterms:W3CDTF">2017-05-15T21:18:00Z</dcterms:modified>
</cp:coreProperties>
</file>